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36"/>
              </w:rPr>
            </w:pPr>
            <w:r>
              <w:rPr>
                <w:rFonts w:ascii="Times New Roman;serif" w:hAnsi="Times New Roman;serif"/>
                <w:b/>
                <w:color w:val="000000"/>
                <w:sz w:val="36"/>
              </w:rPr>
              <w:t>8-K</w:t>
            </w:r>
          </w:p>
        </w:tc>
      </w:tr>
    </w:tbl>
    <w:tbl>
      <w:tblPr>
        <w:tblW w:w="4049" w:type="dxa"/>
        <w:jc w:val="center"/>
        <w:tblInd w:w="0" w:type="dxa"/>
        <w:tblLayout w:type="fixed"/>
        <w:tblCellMar>
          <w:top w:w="28" w:type="dxa"/>
          <w:left w:w="28" w:type="dxa"/>
          <w:bottom w:w="28" w:type="dxa"/>
          <w:right w:w="28" w:type="dxa"/>
        </w:tblCellMar>
      </w:tblPr>
      <w:tblGrid>
        <w:gridCol w:w="1296"/>
        <w:gridCol w:w="1140"/>
        <w:gridCol w:w="1613"/>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REPORT</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Pursuant to Section 13 or 15(d)</w:t>
              <w:br/>
              <w:t>of the Securities Exchange Act of 1934</w:t>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27, 2026</w:t>
      </w:r>
    </w:p>
    <w:tbl>
      <w:tblPr>
        <w:tblW w:w="3779" w:type="dxa"/>
        <w:jc w:val="center"/>
        <w:tblInd w:w="0" w:type="dxa"/>
        <w:tblLayout w:type="fixed"/>
        <w:tblCellMar>
          <w:top w:w="28" w:type="dxa"/>
          <w:left w:w="28" w:type="dxa"/>
          <w:bottom w:w="28" w:type="dxa"/>
          <w:right w:w="28" w:type="dxa"/>
        </w:tblCellMar>
      </w:tblPr>
      <w:tblGrid>
        <w:gridCol w:w="1210"/>
        <w:gridCol w:w="1064"/>
        <w:gridCol w:w="1505"/>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Happen, Inc.</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p>
      <w:pPr>
        <w:pStyle w:val="TextBody"/>
        <w:bidi w:val="0"/>
        <w:spacing w:lineRule="auto" w:line="288" w:before="60" w:after="283"/>
        <w:jc w:val="center"/>
        <w:rPr>
          <w:color w:val="000000"/>
        </w:rPr>
      </w:pPr>
      <w:r>
        <w:rPr>
          <w:color w:val="000000"/>
        </w:rPr>
        <w:t> </w:t>
      </w:r>
    </w:p>
    <w:p>
      <w:pPr>
        <w:pStyle w:val="TextBody"/>
        <w:bidi w:val="0"/>
        <w:spacing w:lineRule="auto" w:line="288" w:before="60" w:after="283"/>
        <w:jc w:val="center"/>
        <w:rPr/>
      </w:pPr>
      <w:r>
        <w:rPr>
          <w:rFonts w:ascii="Times New Roman;serif" w:hAnsi="Times New Roman;serif"/>
          <w:b/>
          <w:color w:val="000000"/>
          <w:sz w:val="22"/>
        </w:rPr>
        <w:t>Commission File Number: 001-36771</w:t>
      </w:r>
      <w:r>
        <w:rPr>
          <w:color w:val="000000"/>
        </w:rPr>
        <w:t xml:space="preserve"> </w:t>
      </w:r>
    </w:p>
    <w:tbl>
      <w:tblPr>
        <w:tblW w:w="3689" w:type="dxa"/>
        <w:jc w:val="center"/>
        <w:tblInd w:w="0" w:type="dxa"/>
        <w:tblLayout w:type="fixed"/>
        <w:tblCellMar>
          <w:top w:w="28" w:type="dxa"/>
          <w:left w:w="28" w:type="dxa"/>
          <w:bottom w:w="28" w:type="dxa"/>
          <w:right w:w="28" w:type="dxa"/>
        </w:tblCellMar>
      </w:tblPr>
      <w:tblGrid>
        <w:gridCol w:w="807"/>
        <w:gridCol w:w="708"/>
        <w:gridCol w:w="719"/>
        <w:gridCol w:w="425"/>
        <w:gridCol w:w="425"/>
        <w:gridCol w:w="60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51-0605731</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 Kearny Street, Suite 600,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San Francisco, CA 94108</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60" w:after="283"/>
        <w:jc w:val="center"/>
        <w:rPr/>
      </w:pPr>
      <w:r>
        <w:rPr/>
      </w:r>
    </w:p>
    <w:p>
      <w:pPr>
        <w:pStyle w:val="TextBody"/>
        <w:bidi w:val="0"/>
        <w:spacing w:lineRule="auto" w:line="288" w:before="120" w:after="283"/>
        <w:jc w:val="center"/>
        <w:rPr/>
      </w:pPr>
      <w:r>
        <w:rPr>
          <w:rFonts w:ascii="Times New Roman;serif" w:hAnsi="Times New Roman;serif"/>
          <w:b w:val="false"/>
          <w:color w:val="000000"/>
          <w:sz w:val="18"/>
        </w:rPr>
        <w:t>Registrant’s telephone number, including area code: 415</w:t>
      </w:r>
      <w:r>
        <w:rPr>
          <w:color w:val="000000"/>
        </w:rPr>
        <w:t> </w:t>
      </w:r>
      <w:r>
        <w:rPr>
          <w:rFonts w:ascii="Times New Roman;serif" w:hAnsi="Times New Roman;serif"/>
          <w:b w:val="false"/>
          <w:color w:val="000000"/>
          <w:sz w:val="18"/>
        </w:rPr>
        <w:t xml:space="preserve">930-7440 </w:t>
      </w:r>
    </w:p>
    <w:p>
      <w:pPr>
        <w:pStyle w:val="TextBody"/>
        <w:bidi w:val="0"/>
        <w:spacing w:lineRule="auto" w:line="288" w:before="60" w:after="283"/>
        <w:jc w:val="center"/>
        <w:rPr/>
      </w:pPr>
      <w:r>
        <w:rPr>
          <w:rFonts w:ascii="Times New Roman;serif" w:hAnsi="Times New Roman;serif"/>
          <w:b w:val="false"/>
          <w:color w:val="000000"/>
          <w:sz w:val="18"/>
        </w:rPr>
        <w:t>Former name or former address, if changed since last report:</w:t>
      </w:r>
      <w:r>
        <w:rPr>
          <w:color w:val="000000"/>
        </w:rPr>
        <w:t xml:space="preserve"> </w:t>
      </w:r>
      <w:r>
        <w:rPr>
          <w:rFonts w:ascii="Times New Roman;serif" w:hAnsi="Times New Roman;serif"/>
          <w:b w:val="false"/>
          <w:color w:val="000000"/>
          <w:sz w:val="22"/>
        </w:rPr>
        <w:t>N/A</w:t>
      </w:r>
    </w:p>
    <w:p>
      <w:pPr>
        <w:pStyle w:val="TextBody"/>
        <w:bidi w:val="0"/>
        <w:spacing w:before="60" w:after="283"/>
        <w:jc w:val="center"/>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594" w:type="dxa"/>
        <w:jc w:val="center"/>
        <w:tblInd w:w="0" w:type="dxa"/>
        <w:tblLayout w:type="fixed"/>
        <w:tblCellMar>
          <w:top w:w="28" w:type="dxa"/>
          <w:left w:w="28" w:type="dxa"/>
          <w:bottom w:w="28" w:type="dxa"/>
          <w:right w:w="28" w:type="dxa"/>
        </w:tblCellMar>
      </w:tblPr>
      <w:tblGrid>
        <w:gridCol w:w="1255"/>
        <w:gridCol w:w="1098"/>
        <w:gridCol w:w="1112"/>
        <w:gridCol w:w="474"/>
        <w:gridCol w:w="474"/>
        <w:gridCol w:w="476"/>
        <w:gridCol w:w="1085"/>
        <w:gridCol w:w="1085"/>
        <w:gridCol w:w="1535"/>
      </w:tblGrid>
      <w:tr>
        <w:trPr/>
        <w:tc>
          <w:tcPr>
            <w:tcW w:w="125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HAPN</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6"/>
        <w:gridCol w:w="3107"/>
        <w:gridCol w:w="3118"/>
        <w:gridCol w:w="109"/>
        <w:gridCol w:w="109"/>
        <w:gridCol w:w="156"/>
      </w:tblGrid>
      <w:tr>
        <w:trPr/>
        <w:tc>
          <w:tcPr>
            <w:tcW w:w="360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2"/>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041" w:type="dxa"/>
        <w:jc w:val="left"/>
        <w:tblInd w:w="0" w:type="dxa"/>
        <w:tblLayout w:type="fixed"/>
        <w:tblCellMar>
          <w:top w:w="28" w:type="dxa"/>
          <w:left w:w="28" w:type="dxa"/>
          <w:bottom w:w="28" w:type="dxa"/>
          <w:right w:w="28" w:type="dxa"/>
        </w:tblCellMar>
      </w:tblPr>
      <w:tblGrid>
        <w:gridCol w:w="381"/>
        <w:gridCol w:w="333"/>
        <w:gridCol w:w="336"/>
        <w:gridCol w:w="109"/>
        <w:gridCol w:w="109"/>
        <w:gridCol w:w="109"/>
        <w:gridCol w:w="1366"/>
        <w:gridCol w:w="1366"/>
        <w:gridCol w:w="1932"/>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Results of Operations and Financial Condition</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July 27, 2026, Happen, Inc. issued a press release (the “Earnings Press Release”) regarding its financial results for the second quarter ended June 30, 2026. A copy of the Earnings Press Release is attached as Exhibit 99.1 to this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set forth in this Item 2.02, including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0" w:after="0"/>
        <w:jc w:val="left"/>
        <w:rPr/>
      </w:pPr>
      <w:r>
        <w:rPr/>
      </w:r>
    </w:p>
    <w:tbl>
      <w:tblPr>
        <w:tblW w:w="4827" w:type="dxa"/>
        <w:jc w:val="left"/>
        <w:tblInd w:w="0" w:type="dxa"/>
        <w:tblLayout w:type="fixed"/>
        <w:tblCellMar>
          <w:top w:w="28" w:type="dxa"/>
          <w:left w:w="28" w:type="dxa"/>
          <w:bottom w:w="28" w:type="dxa"/>
          <w:right w:w="28" w:type="dxa"/>
        </w:tblCellMar>
      </w:tblPr>
      <w:tblGrid>
        <w:gridCol w:w="381"/>
        <w:gridCol w:w="333"/>
        <w:gridCol w:w="336"/>
        <w:gridCol w:w="109"/>
        <w:gridCol w:w="109"/>
        <w:gridCol w:w="109"/>
        <w:gridCol w:w="1010"/>
        <w:gridCol w:w="1010"/>
        <w:gridCol w:w="1430"/>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Exhibits</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2"/>
        <w:gridCol w:w="291"/>
        <w:gridCol w:w="293"/>
        <w:gridCol w:w="109"/>
        <w:gridCol w:w="109"/>
        <w:gridCol w:w="109"/>
        <w:gridCol w:w="2621"/>
        <w:gridCol w:w="2621"/>
        <w:gridCol w:w="3720"/>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Title or Description</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q226exhibit991er.htm">
              <w:r>
                <w:rPr>
                  <w:rStyle w:val="InternetLink"/>
                  <w:rFonts w:ascii="Times New Roman;serif" w:hAnsi="Times New Roman;serif"/>
                  <w:b w:val="false"/>
                  <w:color w:val="000000"/>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991er.htm">
              <w:r>
                <w:rPr>
                  <w:rStyle w:val="InternetLink"/>
                  <w:rFonts w:ascii="Times New Roman;serif" w:hAnsi="Times New Roman;serif"/>
                  <w:b w:val="false"/>
                  <w:color w:val="0000FF"/>
                  <w:sz w:val="22"/>
                  <w:u w:val="single"/>
                </w:rPr>
                <w:t>Press Release dated July 27, 2026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(Cover page XBRL tags are embedded within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405" w:type="dxa"/>
        <w:jc w:val="center"/>
        <w:tblInd w:w="0" w:type="dxa"/>
        <w:tblLayout w:type="fixed"/>
        <w:tblCellMar>
          <w:top w:w="28" w:type="dxa"/>
          <w:left w:w="28" w:type="dxa"/>
          <w:bottom w:w="28" w:type="dxa"/>
          <w:right w:w="28" w:type="dxa"/>
        </w:tblCellMar>
      </w:tblPr>
      <w:tblGrid>
        <w:gridCol w:w="244"/>
        <w:gridCol w:w="215"/>
        <w:gridCol w:w="216"/>
        <w:gridCol w:w="464"/>
        <w:gridCol w:w="464"/>
        <w:gridCol w:w="467"/>
        <w:gridCol w:w="272"/>
        <w:gridCol w:w="272"/>
        <w:gridCol w:w="272"/>
        <w:gridCol w:w="732"/>
        <w:gridCol w:w="732"/>
        <w:gridCol w:w="1055"/>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Happen,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27, 2026</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LABENNE</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LaBenne</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(duly authorized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77" w:type="dxa"/>
        <w:jc w:val="right"/>
        <w:tblInd w:w="0" w:type="dxa"/>
        <w:tblLayout w:type="fixed"/>
        <w:tblCellMar>
          <w:top w:w="28" w:type="dxa"/>
          <w:left w:w="28" w:type="dxa"/>
          <w:bottom w:w="28" w:type="dxa"/>
          <w:right w:w="28" w:type="dxa"/>
        </w:tblCellMar>
      </w:tblPr>
      <w:tblGrid>
        <w:gridCol w:w="890"/>
        <w:gridCol w:w="782"/>
        <w:gridCol w:w="784"/>
        <w:gridCol w:w="109"/>
        <w:gridCol w:w="109"/>
        <w:gridCol w:w="109"/>
        <w:gridCol w:w="408"/>
        <w:gridCol w:w="408"/>
        <w:gridCol w:w="578"/>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95425"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95425" cy="4476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99.1</w:t>
            </w:r>
          </w:p>
        </w:tc>
      </w:tr>
    </w:tbl>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Happen, Inc. Reports Second Quarter 2026 Results</w:t>
      </w:r>
    </w:p>
    <w:p>
      <w:pPr>
        <w:pStyle w:val="TextBody"/>
        <w:bidi w:val="0"/>
        <w:spacing w:lineRule="auto" w:line="288" w:before="0" w:after="0"/>
        <w:jc w:val="center"/>
        <w:rPr/>
      </w:pPr>
      <w:r>
        <w:rPr>
          <w:rFonts w:ascii="Times New Roman;serif" w:hAnsi="Times New Roman;serif"/>
          <w:b w:val="false"/>
          <w:i/>
          <w:color w:val="000000"/>
          <w:sz w:val="23"/>
        </w:rPr>
        <w:t>Record $75.7 Million Pre-Tax Income,</w:t>
      </w:r>
      <w:r>
        <w:rPr>
          <w:color w:val="000000"/>
        </w:rPr>
        <w:t xml:space="preserve"> </w:t>
      </w:r>
      <w:r>
        <w:rPr>
          <w:rFonts w:ascii="Times New Roman;serif" w:hAnsi="Times New Roman;serif"/>
          <w:b w:val="false"/>
          <w:i/>
          <w:color w:val="000000"/>
          <w:sz w:val="23"/>
        </w:rPr>
        <w:t>15.1% ROE, and 15.9% ROTCE</w:t>
      </w:r>
    </w:p>
    <w:p>
      <w:pPr>
        <w:pStyle w:val="TextBody"/>
        <w:bidi w:val="0"/>
        <w:spacing w:lineRule="auto" w:line="288" w:before="0" w:after="0"/>
        <w:jc w:val="center"/>
        <w:rPr>
          <w:rFonts w:ascii="Times New Roman;serif" w:hAnsi="Times New Roman;serif"/>
          <w:b w:val="false"/>
          <w:i/>
          <w:color w:val="000000"/>
          <w:sz w:val="23"/>
        </w:rPr>
      </w:pPr>
      <w:r>
        <w:rPr>
          <w:rFonts w:ascii="Times New Roman;serif" w:hAnsi="Times New Roman;serif"/>
          <w:b w:val="false"/>
          <w:i/>
          <w:color w:val="000000"/>
          <w:sz w:val="23"/>
        </w:rPr>
        <w:t>Grew Originations 29% Year-over-Year; Increased Diluted EPS 52% Year-over-Year to $0.50</w:t>
      </w:r>
    </w:p>
    <w:p>
      <w:pPr>
        <w:pStyle w:val="TextBody"/>
        <w:bidi w:val="0"/>
        <w:spacing w:lineRule="auto" w:line="288" w:before="0" w:after="0"/>
        <w:jc w:val="center"/>
        <w:rPr>
          <w:rFonts w:ascii="Times New Roman;serif" w:hAnsi="Times New Roman;serif"/>
          <w:b w:val="false"/>
          <w:i/>
          <w:color w:val="000000"/>
          <w:sz w:val="23"/>
        </w:rPr>
      </w:pPr>
      <w:r>
        <w:rPr>
          <w:rFonts w:ascii="Times New Roman;serif" w:hAnsi="Times New Roman;serif"/>
          <w:b w:val="false"/>
          <w:i/>
          <w:color w:val="000000"/>
          <w:sz w:val="23"/>
        </w:rPr>
        <w:t xml:space="preserve">Successfully Rebranded to Happen Bank (Nasdaq: HAPN) from LendingClub </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3"/>
        </w:rPr>
        <w:t xml:space="preserve">SAN FRANCISCO – July 27, 2026 – </w:t>
      </w:r>
      <w:r>
        <w:rPr>
          <w:rFonts w:ascii="Times New Roman;serif" w:hAnsi="Times New Roman;serif"/>
          <w:b w:val="false"/>
          <w:color w:val="000000"/>
          <w:sz w:val="23"/>
          <w:u w:val="single"/>
        </w:rPr>
        <w:t>Happen, Inc.</w:t>
      </w:r>
      <w:r>
        <w:rPr>
          <w:color w:val="000000"/>
        </w:rPr>
        <w:t xml:space="preserve"> </w:t>
      </w:r>
      <w:r>
        <w:rPr>
          <w:rFonts w:ascii="Times New Roman;serif" w:hAnsi="Times New Roman;serif"/>
          <w:b w:val="false"/>
          <w:color w:val="000000"/>
          <w:sz w:val="23"/>
        </w:rPr>
        <w:t xml:space="preserve">(Nasdaq: HAPN), parent company of Happen Bank, a digital bank built for the Motivated Middle, today announced financial results for the second quarter ended June 30, 2026.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3"/>
        </w:rPr>
        <w:t>Happen delivered a standout quarter, growing originations 29%</w:t>
      </w:r>
      <w:r>
        <w:rPr>
          <w:color w:val="000000"/>
        </w:rPr>
        <w:t xml:space="preserve"> </w:t>
      </w:r>
      <w:r>
        <w:rPr>
          <w:rFonts w:ascii="Times New Roman;serif" w:hAnsi="Times New Roman;serif"/>
          <w:b w:val="false"/>
          <w:color w:val="000000"/>
          <w:sz w:val="23"/>
        </w:rPr>
        <w:t>year-over-year to $3.1 billion, while producing record pre-tax income of $75.7 million and a return on tangible common equity of 15.9%,” said Scott Sanborn, CEO, Happen, Inc. “This is our first quarter operating under the Happen Bank brand, and our results demonstrate exactly what the brand represents: forward momentum. Our core business is firing on all cylinders. We’re ramping our entry into the $500 billion home improvement market and we’re innovating on behalf of our members, all while growing earnings and increasing returns for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3"/>
          <w:u w:val="single"/>
        </w:rPr>
      </w:pPr>
      <w:r>
        <w:rPr>
          <w:rFonts w:ascii="Times New Roman;serif" w:hAnsi="Times New Roman;serif"/>
          <w:b/>
          <w:color w:val="000000"/>
          <w:sz w:val="23"/>
          <w:u w:val="single"/>
        </w:rPr>
        <w:t>Second Quarter 2026 Results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3"/>
        </w:rPr>
      </w:pPr>
      <w:r>
        <w:rPr>
          <w:rFonts w:ascii="Times New Roman;serif" w:hAnsi="Times New Roman;serif"/>
          <w:b/>
          <w:color w:val="000000"/>
          <w:sz w:val="23"/>
        </w:rPr>
        <w:t xml:space="preserve">Highlights: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 xml:space="preserve">Launched the new Happen Bank brand.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Transferred stock listing from NYSE: LC to Nasdaq: HAPN.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Delivering growth across consumer businesses.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Began originating loans in the home improvement market.</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Continued multi-year credit outperformance vs. competitor set, with over 40%</w:t>
      </w:r>
      <w:r>
        <w:rPr>
          <w:color w:val="000000"/>
          <w:shd w:fill="FFFFFF" w:val="clear"/>
        </w:rPr>
        <w:t xml:space="preserve"> </w:t>
      </w:r>
      <w:r>
        <w:rPr>
          <w:rFonts w:ascii="Times New Roman;serif" w:hAnsi="Times New Roman;serif"/>
          <w:b w:val="false"/>
          <w:color w:val="000000"/>
          <w:sz w:val="23"/>
        </w:rPr>
        <w:t>lower delinquencies.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 xml:space="preserve">Record &gt;90% automation rate and AI-powered agent support tools led to record originations efficiency.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 xml:space="preserve">Executed $12 million of the $100 million </w:t>
      </w:r>
      <w:hyperlink r:id="rId3">
        <w:r>
          <w:rPr>
            <w:rStyle w:val="InternetLink"/>
            <w:rFonts w:ascii="Times New Roman;serif" w:hAnsi="Times New Roman;serif"/>
            <w:b w:val="false"/>
            <w:color w:val="0000FF"/>
            <w:sz w:val="23"/>
            <w:u w:val="single"/>
          </w:rPr>
          <w:t>Stock Repurchase and Acquisition Program</w:t>
        </w:r>
      </w:hyperlink>
      <w:r>
        <w:rPr>
          <w:rFonts w:ascii="Times New Roman;serif" w:hAnsi="Times New Roman;serif"/>
          <w:b w:val="false"/>
          <w:color w:val="000000"/>
          <w:sz w:val="23"/>
        </w:rPr>
        <w:t xml:space="preserve">, with cumulative utilization through June totaling $50 million. </w:t>
      </w:r>
    </w:p>
    <w:p>
      <w:pPr>
        <w:pStyle w:val="TextBody"/>
        <w:bidi w:val="0"/>
        <w:spacing w:before="0" w:after="0"/>
        <w:ind w:left="0" w:right="0" w:firstLine="90"/>
        <w:jc w:val="left"/>
        <w:rPr/>
      </w:pPr>
      <w:r>
        <w:rPr/>
      </w:r>
    </w:p>
    <w:p>
      <w:pPr>
        <w:pStyle w:val="TextBody"/>
        <w:bidi w:val="0"/>
        <w:spacing w:lineRule="auto" w:line="288" w:before="0" w:after="120"/>
        <w:jc w:val="left"/>
        <w:rPr>
          <w:rFonts w:ascii="Times New Roman;serif" w:hAnsi="Times New Roman;serif"/>
          <w:b/>
          <w:color w:val="000000"/>
          <w:sz w:val="23"/>
        </w:rPr>
      </w:pPr>
      <w:r>
        <w:rPr>
          <w:rFonts w:ascii="Times New Roman;serif" w:hAnsi="Times New Roman;serif"/>
          <w:b/>
          <w:color w:val="000000"/>
          <w:sz w:val="23"/>
        </w:rPr>
        <w:t>Balance Sheet:</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Total assets of $12.5 billion, up</w:t>
      </w:r>
      <w:r>
        <w:rPr>
          <w:color w:val="000000"/>
          <w:shd w:fill="FFFFFF" w:val="clear"/>
        </w:rPr>
        <w:t xml:space="preserve"> </w:t>
      </w:r>
      <w:r>
        <w:rPr>
          <w:rFonts w:ascii="Times New Roman;serif" w:hAnsi="Times New Roman;serif"/>
          <w:b w:val="false"/>
          <w:color w:val="000000"/>
          <w:sz w:val="23"/>
        </w:rPr>
        <w:t>16% year-over-year, primarily due to growth in loans and securities.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Deposits of $10.8 billion, up 18% year-over-year, with 88% of deposits FDIC-insured.</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Robust available liquidity of $4.1 billion.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Strong capital position with a consolidated Tier 1 leverage ratio of 11.9% and a CET1 capital ratio of 16.9%.</w:t>
      </w:r>
    </w:p>
    <w:p>
      <w:pPr>
        <w:pStyle w:val="TextBody"/>
        <w:bidi w:val="0"/>
        <w:spacing w:before="0" w:after="0"/>
        <w:ind w:left="0" w:right="0" w:firstLine="90"/>
        <w:jc w:val="left"/>
        <w:rPr/>
      </w:pPr>
      <w:r>
        <w:rPr/>
      </w:r>
    </w:p>
    <w:p>
      <w:pPr>
        <w:pStyle w:val="TextBody"/>
        <w:bidi w:val="0"/>
        <w:spacing w:lineRule="auto" w:line="288" w:before="0" w:after="120"/>
        <w:jc w:val="left"/>
        <w:rPr>
          <w:rFonts w:ascii="Times New Roman;serif" w:hAnsi="Times New Roman;serif"/>
          <w:b/>
          <w:color w:val="000000"/>
          <w:sz w:val="23"/>
        </w:rPr>
      </w:pPr>
      <w:r>
        <w:rPr>
          <w:rFonts w:ascii="Times New Roman;serif" w:hAnsi="Times New Roman;serif"/>
          <w:b/>
          <w:color w:val="000000"/>
          <w:sz w:val="23"/>
        </w:rPr>
        <w:t xml:space="preserve">Financial Performance: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Achieved $3.1 billion in origination volume, up 29% compared to the prior year, driven by the successful execution of product and marketing initiatives.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 xml:space="preserve">Total net revenue increased 6% to $262.9 million, compared to $248.4 million in the prior year, driven by higher loan origination volume and higher net interest income.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 xml:space="preserve">Provision benefit of $10.9 million, compared to an expense of $39.7 million in the prior year, due to strong credit performance and the 2026 election of fair value option (FVO) accounting for all new originations.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 xml:space="preserve">Net charge-offs on total loans and leases held for investment improved to $40.6 million, compared to $46.1 million in the same quarter in the prior year, supported by strong credit performance.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Net income and Diluted EPS grew 52% t</w:t>
      </w:r>
      <w:r>
        <w:rPr>
          <w:rFonts w:ascii="Times New Roman;serif" w:hAnsi="Times New Roman;serif"/>
          <w:b w:val="false"/>
          <w:color w:val="000000"/>
          <w:sz w:val="23"/>
          <w:shd w:fill="FFFFFF" w:val="clear"/>
        </w:rPr>
        <w:t>o</w:t>
      </w:r>
      <w:r>
        <w:rPr>
          <w:color w:val="000000"/>
        </w:rPr>
        <w:t xml:space="preserve"> </w:t>
      </w:r>
      <w:r>
        <w:rPr>
          <w:rFonts w:ascii="Times New Roman;serif" w:hAnsi="Times New Roman;serif"/>
          <w:b w:val="false"/>
          <w:color w:val="000000"/>
          <w:sz w:val="23"/>
        </w:rPr>
        <w:t>$58.1 million and $0.50, respectively, compared to $38.2 million and $0.33 in the prior year, respectively.</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3"/>
        </w:rPr>
        <w:t>Profit margin (pre-tax) of 28.8%, compared to 21.7% in the prior year.</w:t>
      </w:r>
    </w:p>
    <w:p>
      <w:pPr>
        <w:pStyle w:val="TextBody"/>
        <w:bidi w:val="0"/>
        <w:spacing w:lineRule="auto" w:line="288"/>
        <w:ind w:left="0" w:right="0" w:hanging="270"/>
        <w:jc w:val="left"/>
        <w:rPr/>
      </w:pPr>
      <w:r>
        <w:rPr>
          <w:color w:val="000000"/>
        </w:rPr>
        <w:t>•</w:t>
      </w:r>
      <w:r>
        <w:rPr>
          <w:rFonts w:ascii="Times New Roman;serif" w:hAnsi="Times New Roman;serif"/>
          <w:b w:val="false"/>
          <w:color w:val="000000"/>
          <w:sz w:val="23"/>
        </w:rPr>
        <w:t>Return on Equity (ROE) of 15.1% with a Return on Tangible Common Equity (ROTCE) of 15.9%.</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Summary Financial Highlights:</w:t>
      </w:r>
    </w:p>
    <w:tbl>
      <w:tblPr>
        <w:tblW w:w="8722" w:type="dxa"/>
        <w:jc w:val="left"/>
        <w:tblInd w:w="0" w:type="dxa"/>
        <w:tblLayout w:type="fixed"/>
        <w:tblCellMar>
          <w:top w:w="28" w:type="dxa"/>
          <w:left w:w="28" w:type="dxa"/>
          <w:bottom w:w="28" w:type="dxa"/>
          <w:right w:w="28" w:type="dxa"/>
        </w:tblCellMar>
      </w:tblPr>
      <w:tblGrid>
        <w:gridCol w:w="1428"/>
        <w:gridCol w:w="1254"/>
        <w:gridCol w:w="1263"/>
        <w:gridCol w:w="226"/>
        <w:gridCol w:w="706"/>
        <w:gridCol w:w="109"/>
        <w:gridCol w:w="109"/>
        <w:gridCol w:w="109"/>
        <w:gridCol w:w="109"/>
        <w:gridCol w:w="244"/>
        <w:gridCol w:w="763"/>
        <w:gridCol w:w="117"/>
        <w:gridCol w:w="109"/>
        <w:gridCol w:w="109"/>
        <w:gridCol w:w="109"/>
        <w:gridCol w:w="226"/>
        <w:gridCol w:w="706"/>
        <w:gridCol w:w="109"/>
        <w:gridCol w:w="109"/>
        <w:gridCol w:w="109"/>
        <w:gridCol w:w="109"/>
        <w:gridCol w:w="109"/>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in millions,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income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color w:val="000000"/>
          <w:sz w:val="22"/>
        </w:rPr>
        <w:t>For a calculation of Tangible Book Value Per Common Share and Return on Tangible Common Equity, refer to the “</w:t>
      </w:r>
      <w:r>
        <w:rPr>
          <w:rFonts w:ascii="Times New Roman;serif" w:hAnsi="Times New Roman;serif"/>
          <w:b w:val="false"/>
          <w:i/>
          <w:color w:val="000000"/>
          <w:sz w:val="22"/>
        </w:rPr>
        <w:t>Reconciliation of GAAP to Non-GAAP Financial Measures</w:t>
      </w:r>
      <w:r>
        <w:rPr>
          <w:color w:val="000000"/>
        </w:rPr>
        <w:t xml:space="preserve">” </w:t>
      </w:r>
      <w:r>
        <w:rPr>
          <w:rFonts w:ascii="Times New Roman;serif" w:hAnsi="Times New Roman;serif"/>
          <w:b w:val="false"/>
          <w:color w:val="000000"/>
          <w:sz w:val="22"/>
        </w:rPr>
        <w:t>tables at the end of this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2026 Strategic Priorities &amp;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Happen has made important progress on several strategic initiatives:</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2"/>
        </w:rPr>
        <w:t>Corporate Rebrand:</w:t>
      </w:r>
      <w:r>
        <w:rPr>
          <w:color w:val="000000"/>
        </w:rPr>
        <w:t xml:space="preserve"> </w:t>
      </w:r>
      <w:r>
        <w:rPr>
          <w:rFonts w:ascii="Times New Roman;serif" w:hAnsi="Times New Roman;serif"/>
          <w:b w:val="false"/>
          <w:color w:val="000000"/>
          <w:sz w:val="22"/>
        </w:rPr>
        <w:t xml:space="preserve">Rebranded to </w:t>
      </w:r>
      <w:r>
        <w:rPr>
          <w:rFonts w:ascii="Times New Roman;serif" w:hAnsi="Times New Roman;serif"/>
          <w:b/>
          <w:color w:val="000000"/>
          <w:sz w:val="22"/>
        </w:rPr>
        <w:t>Happen Bank</w:t>
      </w:r>
      <w:r>
        <w:rPr>
          <w:rFonts w:ascii="Times New Roman;serif" w:hAnsi="Times New Roman;serif"/>
          <w:b/>
          <w:color w:val="000000"/>
          <w:sz w:val="14"/>
        </w:rPr>
        <w:t>TM</w:t>
      </w:r>
      <w:r>
        <w:rPr>
          <w:rFonts w:ascii="Times New Roman;serif" w:hAnsi="Times New Roman;serif"/>
          <w:b w:val="false"/>
          <w:color w:val="000000"/>
          <w:sz w:val="22"/>
        </w:rPr>
        <w:t xml:space="preserve">, a bank that clears the way for people going places, providing fast and easy access to award-winning products that help them save more of what they earn and earn more on what they save. The new brand reflects the company’s transition from a pioneering online lender to a diversified digital-first bank that combines deposits, lending, and a capital-light marketplace bank model. The company completed the transition and began trading on Nasdaq under HAPN in June 2026. </w:t>
      </w:r>
    </w:p>
    <w:p>
      <w:pPr>
        <w:pStyle w:val="TextBody"/>
        <w:bidi w:val="0"/>
        <w:spacing w:lineRule="auto" w:line="288" w:before="0" w:after="180"/>
        <w:jc w:val="left"/>
        <w:rPr/>
      </w:pPr>
      <w:r>
        <w:rPr>
          <w:rFonts w:ascii="Times New Roman;serif" w:hAnsi="Times New Roman;serif"/>
          <w:b/>
          <w:color w:val="000000"/>
          <w:sz w:val="22"/>
        </w:rPr>
        <w:t>Home Improvement Financing:</w:t>
      </w:r>
      <w:r>
        <w:rPr>
          <w:color w:val="000000"/>
        </w:rPr>
        <w:t xml:space="preserve"> </w:t>
      </w:r>
      <w:r>
        <w:rPr>
          <w:rFonts w:ascii="Times New Roman;serif" w:hAnsi="Times New Roman;serif"/>
          <w:b w:val="false"/>
          <w:color w:val="000000"/>
          <w:sz w:val="22"/>
        </w:rPr>
        <w:t>Having previously acquired foundational technology and key talent, Happen Bank is now underwriting and originating home improvement loans and the pipeline of additional new partners is significant. Home improvement is a $500 billion market where Happen Bank has distinct advantages over incumbents and a meaningful opportunity for growth.</w:t>
      </w:r>
    </w:p>
    <w:p>
      <w:pPr>
        <w:pStyle w:val="TextBody"/>
        <w:bidi w:val="0"/>
        <w:spacing w:lineRule="auto" w:line="288" w:before="0" w:after="180"/>
        <w:jc w:val="left"/>
        <w:rPr/>
      </w:pPr>
      <w:r>
        <w:rPr>
          <w:rFonts w:ascii="Times New Roman;serif" w:hAnsi="Times New Roman;serif"/>
          <w:b/>
          <w:color w:val="000000"/>
          <w:sz w:val="22"/>
        </w:rPr>
        <w:t>AI and Operating Efficiency:</w:t>
      </w:r>
      <w:r>
        <w:rPr>
          <w:color w:val="000000"/>
        </w:rPr>
        <w:t xml:space="preserve"> </w:t>
      </w:r>
      <w:r>
        <w:rPr>
          <w:rFonts w:ascii="Times New Roman;serif" w:hAnsi="Times New Roman;serif"/>
          <w:b w:val="false"/>
          <w:color w:val="000000"/>
          <w:sz w:val="22"/>
        </w:rPr>
        <w:t xml:space="preserve">The company has multiple AI initiatives underway across marketing, product, engineering, operations, customer experience, and compliance, with the goal of improving member experience, driving efficiency, and supporting margin expansion over time. AI-powered automation and agent support tools have already led to record personal loans originations production efficiency and a record-high &gt;90% automation rate for issued loans. </w:t>
      </w:r>
    </w:p>
    <w:p>
      <w:pPr>
        <w:pStyle w:val="TextBody"/>
        <w:bidi w:val="0"/>
        <w:spacing w:lineRule="auto" w:line="288" w:before="0" w:after="180"/>
        <w:jc w:val="left"/>
        <w:rPr/>
      </w:pPr>
      <w:r>
        <w:rPr>
          <w:rFonts w:ascii="Times New Roman;serif" w:hAnsi="Times New Roman;serif"/>
          <w:b/>
          <w:color w:val="000000"/>
          <w:sz w:val="22"/>
        </w:rPr>
        <w:t>New Marketing Channel Investment:</w:t>
      </w:r>
      <w:r>
        <w:rPr>
          <w:color w:val="000000"/>
        </w:rPr>
        <w:t xml:space="preserve"> </w:t>
      </w:r>
      <w:r>
        <w:rPr>
          <w:rFonts w:ascii="Times New Roman;serif" w:hAnsi="Times New Roman;serif"/>
          <w:b w:val="false"/>
          <w:color w:val="000000"/>
          <w:sz w:val="22"/>
        </w:rPr>
        <w:t>The company accelerated investments in new acquisition channels, including paid social and display, ahead of normal seasonal timing in order to build attribution models and data capabilities for the full-year 2026 growth plan. Successful execution of marketing and product initiatives contributed to a 29% year-over-year increase in originations in the second quarter.</w:t>
      </w:r>
    </w:p>
    <w:p>
      <w:pPr>
        <w:pStyle w:val="TextBody"/>
        <w:bidi w:val="0"/>
        <w:spacing w:lineRule="auto" w:line="288" w:before="0" w:after="0"/>
        <w:jc w:val="left"/>
        <w:rPr/>
      </w:pPr>
      <w:r>
        <w:rPr>
          <w:rFonts w:ascii="Times New Roman;serif" w:hAnsi="Times New Roman;serif"/>
          <w:b/>
          <w:color w:val="000000"/>
          <w:sz w:val="22"/>
        </w:rPr>
        <w:t xml:space="preserve">Transition to Fair Value Option Accounting: </w:t>
      </w:r>
      <w:r>
        <w:rPr>
          <w:rFonts w:ascii="Times New Roman;serif" w:hAnsi="Times New Roman;serif"/>
          <w:b w:val="false"/>
          <w:color w:val="000000"/>
          <w:sz w:val="22"/>
        </w:rPr>
        <w:t>Starting January 1, 2026, Happen Bank adopted FVO accounting for all new originations of loans held for investment. This change aligns the accounting treatment for loans held for investment and held for sale, creating a consistent framework across the business and better aligns the timing of revenue recognition with the timing of credit and operational expenses. The company expects this transition will, over time, result in higher return on invested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From a financial reporting perspective, under FVO, new loans are marked to fair value at origination, with subsequent changes in fair value, reflecting both credit performance and market conditions, flowing through non-interest income each quarter rather than through a separate provision for credit losses. The company will no longer record a CECL provision on new loan originations.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Financial Outlook</w:t>
      </w:r>
    </w:p>
    <w:p>
      <w:pPr>
        <w:pStyle w:val="TextBody"/>
        <w:bidi w:val="0"/>
        <w:spacing w:before="0" w:after="0"/>
        <w:jc w:val="left"/>
        <w:rPr/>
      </w:pPr>
      <w:r>
        <w:rPr/>
      </w:r>
    </w:p>
    <w:tbl>
      <w:tblPr>
        <w:tblW w:w="3993" w:type="dxa"/>
        <w:jc w:val="left"/>
        <w:tblInd w:w="0" w:type="dxa"/>
        <w:tblLayout w:type="fixed"/>
        <w:tblCellMar>
          <w:top w:w="28" w:type="dxa"/>
          <w:left w:w="28" w:type="dxa"/>
          <w:bottom w:w="28" w:type="dxa"/>
          <w:right w:w="28" w:type="dxa"/>
        </w:tblCellMar>
      </w:tblPr>
      <w:tblGrid>
        <w:gridCol w:w="642"/>
        <w:gridCol w:w="562"/>
        <w:gridCol w:w="566"/>
        <w:gridCol w:w="689"/>
        <w:gridCol w:w="689"/>
        <w:gridCol w:w="69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Third Quarter 2026</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Loan originations</w:t>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$3.20B to $3.35B</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2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$0.43 to $0.48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Full Year 2026</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Loan originations</w:t>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$12.2B to $12.6B</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20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 to $1.90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About Happen Bank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Happen Bank™ – formerly LendingClub Bank – is a digital bank built for the Motivated Middle: high-FICO, high-income, digitally savvy consumers actively managing their financial lives. Our difference? We make it easy for them to access award-winning products that help them keep more of what they earn and earn more on what they save. Our products are aligned by design to reward our five million plus members when they take positive financial steps, like saving regularly or making loan payments 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success is fueled by our advanced credit underwriting, a proprietary technology platform engineered for innovation, and a marketplace bank model that drives value for members, loan investors, and shareholders alike. The result is affordable credit, meaningful value, and a trusted banking relationship – delivered consistently and profitably at scale.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Happen Bank exists to clear the way for our members to make it happen.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Happen, Inc. (Nasdaq: HAPN) – formerly LendingClub Corporation – is the parent company and operator of Happen Bank, National Association, Member FDIC. For more information about Happen Bank, visit https://www.happen.com.</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Conference Call and Webcast Information</w:t>
      </w:r>
    </w:p>
    <w:p>
      <w:pPr>
        <w:pStyle w:val="TextBody"/>
        <w:bidi w:val="0"/>
        <w:spacing w:lineRule="auto" w:line="288" w:before="0" w:after="0"/>
        <w:jc w:val="left"/>
        <w:rPr/>
      </w:pPr>
      <w:r>
        <w:rPr>
          <w:rFonts w:ascii="Times New Roman;serif" w:hAnsi="Times New Roman;serif"/>
          <w:b w:val="false"/>
          <w:color w:val="000000"/>
          <w:sz w:val="22"/>
        </w:rPr>
        <w:t xml:space="preserve">Happen, Inc.’s second quarter 2026 webcast and teleconference is scheduled to begin at 2:00 p.m. Pacific Time (or 5:00 p.m. Eastern Time) on Monday, July 27, 2026. A live webcast of the call will be available at </w:t>
      </w:r>
      <w:r>
        <w:rPr>
          <w:rFonts w:ascii="Times New Roman;serif" w:hAnsi="Times New Roman;serif"/>
          <w:b w:val="false"/>
          <w:color w:val="000000"/>
          <w:sz w:val="22"/>
          <w:u w:val="single"/>
        </w:rPr>
        <w:t>https://ir.happen.com</w:t>
      </w:r>
      <w:r>
        <w:rPr>
          <w:color w:val="000000"/>
        </w:rPr>
        <w:t xml:space="preserve"> </w:t>
      </w:r>
      <w:r>
        <w:rPr>
          <w:rFonts w:ascii="Times New Roman;serif" w:hAnsi="Times New Roman;serif"/>
          <w:b w:val="false"/>
          <w:color w:val="000000"/>
          <w:sz w:val="22"/>
        </w:rPr>
        <w:t xml:space="preserve">under News &amp; Events menu. To listen to the call, register using this link: https://edge.media-server.com/mmc/p/n9sxvwro ten minutes prior to 2:00 p.m. Pacific Time (or 5:00 p.m. Eastern Time). An audio archive of the call will be available at </w:t>
      </w:r>
      <w:r>
        <w:rPr>
          <w:rFonts w:ascii="Times New Roman;serif" w:hAnsi="Times New Roman;serif"/>
          <w:b w:val="false"/>
          <w:color w:val="000000"/>
          <w:sz w:val="22"/>
          <w:u w:val="single"/>
        </w:rPr>
        <w:t>https://ir.happen.com</w:t>
      </w:r>
      <w:r>
        <w:rPr>
          <w:rFonts w:ascii="Times New Roman;serif" w:hAnsi="Times New Roman;serif"/>
          <w:b w:val="false"/>
          <w:color w:val="000000"/>
          <w:sz w:val="22"/>
        </w:rPr>
        <w:t xml:space="preserve">. Happen, Inc. communicates with its investors and the public, including by disclosing material information pursuant to Regulation FD, through various channels, including its website (including the investor relations page at https://ir.happen.com), social media (including X, LinkedIn and Facebook), filings with the Securities and Exchange Commission, press releases, conference calls and webcasts. Accordingly, we encourage investors and the public to review our communications across all channels.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Question Submissions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Prior to quarterly earnings, investors have the ability to submit and upvote questions for Happen Bank’s management team to consider. To participate, visit the link provided in each quarter's earnings date announcement.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Investors:</w:t>
      </w:r>
    </w:p>
    <w:p>
      <w:pPr>
        <w:pStyle w:val="TextBody"/>
        <w:bidi w:val="0"/>
        <w:spacing w:lineRule="auto" w:line="288" w:before="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IR@happen.com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Media Contact:</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Press@happen.com</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2"/>
        </w:rPr>
      </w:pPr>
      <w:bookmarkStart w:id="0" w:name="i31b1234505c549b0aab48ea651e7db43_12262"/>
      <w:bookmarkEnd w:id="0"/>
      <w:r>
        <w:rPr>
          <w:rFonts w:ascii="Times New Roman;serif" w:hAnsi="Times New Roman;serif"/>
          <w:b/>
          <w:color w:val="000000"/>
          <w:sz w:val="22"/>
        </w:rPr>
        <w:t>Non-GAAP Financial Measures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supplement our financial statements, which are prepared and presented in accordance with GAAP, we use the following non-GAAP financial measures: Tangible Book Value (TBV) Per Common Share and Return on Tangible Common Equity (ROTCE). Our non-GAAP financial measures do have limitations as analytical tools and you should not consider them in isolation or as a substitute for an analysis of our results under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believe these non-GAAP financial measures provide management and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 believe TBV Per Common Share is an important measure used to evaluate the company’s use of equity. TBV Per Common Share is a non-GAAP financial measure representing tangible common equity for the period (common equity reduced by goodwill and customer relationship intangible assets), divided by the ending number of common shares issued and outstanding.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 believe ROTCE is an important measure because it reflects the company's ability to generate income from its core assets. ROTCE is a non-GAAP financial measure calculated by dividing annualized net income by the average tangible common equity for the applicable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For a reconciliation of such measures to the nearest GAAP measures, please refer to the tables on page </w:t>
      </w:r>
      <w:hyperlink w:anchor="ib8483ed5b2e3426d96713fef034b9756_31">
        <w:r>
          <w:rPr>
            <w:rStyle w:val="InternetLink"/>
            <w:rFonts w:ascii="Times New Roman;serif" w:hAnsi="Times New Roman;serif"/>
            <w:b w:val="false"/>
            <w:strike w:val="false"/>
            <w:dstrike w:val="false"/>
            <w:color w:val="000000"/>
            <w:sz w:val="22"/>
            <w:u w:val="none"/>
            <w:effect w:val="none"/>
          </w:rPr>
          <w:t>11</w:t>
        </w:r>
      </w:hyperlink>
      <w:r>
        <w:rPr>
          <w:rFonts w:ascii="Times New Roman;serif" w:hAnsi="Times New Roman;serif"/>
          <w:b w:val="false"/>
          <w:color w:val="000000"/>
          <w:sz w:val="22"/>
        </w:rPr>
        <w:t xml:space="preserve"> of this release.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Some of the statements above, including statements regarding our entry into home improvement financing, our AI initiatives, the impact of the transition to fair value option accounting and anticipated future performance and financial results, are “forward-looking statements.” The words “anticipate,” “believe,” “continue,” “could,” “estimate,” “expect,” “intend,” “may,” “outlook,” “plan,” “predict,” “project,” “should,” “will,” “would” and similar expressions may identify forward-looking statements, although not all forward-looking statements contain these identifying words. Factors that could cause actual results to differ materially from those contemplated by these forward-looking statements include: our loan performance, our ability to continue to attract and retain new and existing borrowers and marketplace investors (including retaining long-term investors through the duration of their expected partnership and achieving the anticipated level of purchases); competition; overall economic conditions; our ability to integrate acquired technology; the interest rate and/or regulatory environment; default rates and those factors set forth in the section titled “Risk Factors” in our most recent Annual Report on Form 10-K, as filed with the Securities and Exchange Commission, as well as in our subsequent filings with the Securities and Exchange Commission. Actual results or events could differ materially from the plans, intentions and expectations disclosed in forward-looking statements, and you should not place undue reliance on forward-looking statements. We do not assume any obligation to update any forward-looking statements, whether as a result of new information, future events or otherwise, except as required by law.</w: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HIGHLIGHTS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817" w:type="dxa"/>
        <w:jc w:val="left"/>
        <w:tblInd w:w="0" w:type="dxa"/>
        <w:tblLayout w:type="fixed"/>
        <w:tblCellMar>
          <w:top w:w="28" w:type="dxa"/>
          <w:left w:w="28" w:type="dxa"/>
          <w:bottom w:w="28" w:type="dxa"/>
          <w:right w:w="28" w:type="dxa"/>
        </w:tblCellMar>
      </w:tblPr>
      <w:tblGrid>
        <w:gridCol w:w="536"/>
        <w:gridCol w:w="268"/>
        <w:gridCol w:w="202"/>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64"/>
        <w:gridCol w:w="167"/>
        <w:gridCol w:w="256"/>
        <w:gridCol w:w="109"/>
        <w:gridCol w:w="109"/>
        <w:gridCol w:w="109"/>
        <w:gridCol w:w="172"/>
        <w:gridCol w:w="174"/>
        <w:gridCol w:w="301"/>
      </w:tblGrid>
      <w:tr>
        <w:trPr/>
        <w:tc>
          <w:tcPr>
            <w:tcW w:w="53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10817" w:type="dxa"/>
            <w:gridSpan w:val="4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Highlights:</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11" w:type="dxa"/>
            <w:gridSpan w:val="39"/>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11" w:type="dxa"/>
            <w:gridSpan w:val="39"/>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Total loan originations (in millions)</w:t>
            </w:r>
            <w:r>
              <w:rPr>
                <w:rFonts w:ascii="Times New Roman;serif" w:hAnsi="Times New Roman;serif"/>
                <w:b w:val="false"/>
                <w:color w:val="000000"/>
                <w:sz w:val="12"/>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originations sold or held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Current period originations held for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11" w:type="dxa"/>
            <w:gridSpan w:val="39"/>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Total servicing portfolio (in millions)</w:t>
            </w:r>
            <w:r>
              <w:rPr>
                <w:rFonts w:ascii="Times New Roman;serif" w:hAnsi="Times New Roman;serif"/>
                <w:b w:val="false"/>
                <w:color w:val="000000"/>
                <w:sz w:val="12"/>
              </w:rPr>
              <w:t>(2)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serviced for others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7" w:type="dxa"/>
            <w:gridSpan w:val="42"/>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Performance Metrics:</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Profit margin</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Return on average equity (ROE)</w:t>
            </w:r>
            <w:r>
              <w:rPr>
                <w:rFonts w:ascii="Times New Roman;serif" w:hAnsi="Times New Roman;serif"/>
                <w:b w:val="false"/>
                <w:color w:val="000000"/>
                <w:sz w:val="12"/>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Return on tangible common equity (ROTCE)</w:t>
            </w:r>
            <w:r>
              <w:rPr>
                <w:rFonts w:ascii="Times New Roman;serif" w:hAnsi="Times New Roman;serif"/>
                <w:b w:val="false"/>
                <w:color w:val="000000"/>
                <w:sz w:val="12"/>
              </w:rPr>
              <w:t>(5)(6)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Return on average total assets (ROA)</w:t>
            </w:r>
            <w:r>
              <w:rPr>
                <w:rFonts w:ascii="Times New Roman;serif" w:hAnsi="Times New Roman;serif"/>
                <w:b w:val="false"/>
                <w:color w:val="000000"/>
                <w:sz w:val="12"/>
              </w:rPr>
              <w:t>(7)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Marketing expense as a % of loan originations</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Average balance - total loans and leases held for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5,108,678 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4,797,639 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4,767,573 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4,890,619 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charge-offs - total loans and leases held for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Net charge-off ratio - total loans and leases held for investment</w:t>
            </w:r>
            <w:r>
              <w:rPr>
                <w:rFonts w:ascii="Times New Roman;serif" w:hAnsi="Times New Roman;serif"/>
                <w:b w:val="false"/>
                <w:color w:val="000000"/>
                <w:sz w:val="12"/>
              </w:rPr>
              <w:t>(8)</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7" w:type="dxa"/>
            <w:gridSpan w:val="42"/>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Capital Metrics:</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Tangible book value per common share</w:t>
            </w:r>
            <w:r>
              <w:rPr>
                <w:rFonts w:ascii="Times New Roman;serif" w:hAnsi="Times New Roman;serif"/>
                <w:b w:val="false"/>
                <w:color w:val="000000"/>
                <w:sz w:val="12"/>
              </w:rPr>
              <w:t>(6)</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Beginning in the first quarter of 2026, includes all loans originated during the respective periods (unsecured consumer loans, auto loans and small business loans). Previously this included unsecured consumer loans and auto loans only. In the second and first quarters of 2026, this update included small business loan originations of $38 million and $15 million, respectively. Prior periods have been reclassified to conform to the current period presentation.</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Reflects loans serviced on our platform, which includes unsecured consumer loans and auto loans serviced for others for which servicing rights are retained by the company.</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Calculated as the ratio of income before income tax expense to total net revenue.</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color w:val="000000"/>
        </w:rPr>
        <w:t>    </w:t>
      </w:r>
      <w:r>
        <w:rPr>
          <w:rFonts w:ascii="Times New Roman;serif" w:hAnsi="Times New Roman;serif"/>
          <w:b w:val="false"/>
          <w:color w:val="000000"/>
          <w:sz w:val="18"/>
        </w:rPr>
        <w:t>Calculated as annualized net income divided by average equity for the period presented.</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color w:val="000000"/>
        </w:rPr>
        <w:t>    </w:t>
      </w:r>
      <w:r>
        <w:rPr>
          <w:rFonts w:ascii="Times New Roman;serif" w:hAnsi="Times New Roman;serif"/>
          <w:b w:val="false"/>
          <w:color w:val="000000"/>
          <w:sz w:val="18"/>
        </w:rPr>
        <w:t>Calculated as annualized net income divided by average tangible common equity for the period presented.</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color w:val="000000"/>
        </w:rPr>
        <w:t>    </w:t>
      </w:r>
      <w:r>
        <w:rPr>
          <w:rFonts w:ascii="Times New Roman;serif" w:hAnsi="Times New Roman;serif"/>
          <w:b w:val="false"/>
          <w:color w:val="000000"/>
          <w:sz w:val="18"/>
        </w:rPr>
        <w:t>Represents a non-GAAP financial measure. See “</w:t>
      </w:r>
      <w:r>
        <w:rPr>
          <w:rFonts w:ascii="Times New Roman;serif" w:hAnsi="Times New Roman;serif"/>
          <w:b w:val="false"/>
          <w:i/>
          <w:color w:val="000000"/>
          <w:sz w:val="18"/>
        </w:rPr>
        <w:t>Reconciliation of GAAP to Non-GAAP Financial Measures.</w:t>
      </w:r>
      <w:r>
        <w:rPr>
          <w:color w:val="000000"/>
        </w:rPr>
        <w:t xml:space="preserve">” </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color w:val="000000"/>
        </w:rPr>
        <w:t>    </w:t>
      </w:r>
      <w:r>
        <w:rPr>
          <w:rFonts w:ascii="Times New Roman;serif" w:hAnsi="Times New Roman;serif"/>
          <w:b w:val="false"/>
          <w:color w:val="000000"/>
          <w:sz w:val="18"/>
        </w:rPr>
        <w:t>Calculated as annualized net income divided by average total assets for the period presented.</w:t>
      </w:r>
    </w:p>
    <w:p>
      <w:pPr>
        <w:pStyle w:val="TextBody"/>
        <w:bidi w:val="0"/>
        <w:spacing w:lineRule="auto" w:line="288"/>
        <w:ind w:left="0" w:right="0" w:hanging="360"/>
        <w:jc w:val="left"/>
        <w:rPr/>
      </w:pPr>
      <w:r>
        <w:rPr>
          <w:rFonts w:ascii="Times New Roman;serif" w:hAnsi="Times New Roman;serif"/>
          <w:b w:val="false"/>
          <w:color w:val="000000"/>
          <w:sz w:val="12"/>
        </w:rPr>
        <w:t>(8)    </w:t>
      </w:r>
      <w:r>
        <w:rPr>
          <w:rFonts w:ascii="Times New Roman;serif" w:hAnsi="Times New Roman;serif"/>
          <w:b w:val="false"/>
          <w:color w:val="000000"/>
          <w:sz w:val="18"/>
        </w:rPr>
        <w:t>Beginning in the first quarter of 2026, the net charge-off ratio is calculated as annualized net charge-offs for total loans and leases held for investment (at amortized cost and fair value) divided by average total outstanding loans and leases held for investment during the period. Prior to the first quarter of 2026, this was calculated based on loans and leases held for investment at amortized cost only. Prior period amounts have been reclassified to conform to the current period presentation.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 xml:space="preserve">OPERATING HIGHLIGHTS </w:t>
      </w:r>
      <w:r>
        <w:rPr>
          <w:rFonts w:ascii="Times New Roman;serif" w:hAnsi="Times New Roman;serif"/>
          <w:b w:val="false"/>
          <w:color w:val="000000"/>
          <w:sz w:val="20"/>
        </w:rPr>
        <w:t>(Continued)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ind w:left="0" w:right="0" w:hanging="360"/>
        <w:jc w:val="left"/>
        <w:rPr/>
      </w:pPr>
      <w:r>
        <w:rPr/>
      </w:r>
    </w:p>
    <w:tbl>
      <w:tblPr>
        <w:tblW w:w="10247" w:type="dxa"/>
        <w:jc w:val="left"/>
        <w:tblInd w:w="0" w:type="dxa"/>
        <w:tblLayout w:type="fixed"/>
        <w:tblCellMar>
          <w:top w:w="28" w:type="dxa"/>
          <w:left w:w="28" w:type="dxa"/>
          <w:bottom w:w="28" w:type="dxa"/>
          <w:right w:w="28" w:type="dxa"/>
        </w:tblCellMar>
      </w:tblPr>
      <w:tblGrid>
        <w:gridCol w:w="294"/>
        <w:gridCol w:w="258"/>
        <w:gridCol w:w="25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27"/>
        <w:gridCol w:w="129"/>
        <w:gridCol w:w="256"/>
        <w:gridCol w:w="109"/>
        <w:gridCol w:w="109"/>
        <w:gridCol w:w="109"/>
        <w:gridCol w:w="165"/>
        <w:gridCol w:w="166"/>
        <w:gridCol w:w="30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the period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10247"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color w:val="000000"/>
                <w:sz w:val="18"/>
              </w:rPr>
            </w:pPr>
            <w:r>
              <w:rPr>
                <w:rFonts w:ascii="Times New Roman;serif" w:hAnsi="Times New Roman;serif"/>
                <w:b/>
                <w:color w:val="000000"/>
                <w:sz w:val="18"/>
              </w:rPr>
              <w:t>Balance Sheet Data:</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Loans and leases held for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12,549,040 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1,567,465 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1,523,528 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1,500,428 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1,462,213 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1,406,035 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 AND LEASES HELD FOR INVESTMENT BY DELINQUENCY STATUS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pPr>
      <w:r>
        <w:rPr>
          <w:rFonts w:ascii="Times New Roman;serif" w:hAnsi="Times New Roman;serif"/>
          <w:b w:val="false"/>
          <w:color w:val="000000"/>
          <w:sz w:val="22"/>
        </w:rPr>
        <w:t>The following tables present loans and leases held for investment (at amortized cost and fair value) by delinquency status</w:t>
      </w:r>
      <w:r>
        <w:rPr>
          <w:rFonts w:ascii="Times New Roman;serif" w:hAnsi="Times New Roman;serif"/>
          <w:b w:val="false"/>
          <w:color w:val="000000"/>
          <w:sz w:val="14"/>
        </w:rPr>
        <w:t>(1)</w:t>
      </w:r>
      <w:r>
        <w:rPr>
          <w:rFonts w:ascii="Times New Roman;serif" w:hAnsi="Times New Roman;serif"/>
          <w:b w:val="false"/>
          <w:color w:val="000000"/>
          <w:sz w:val="22"/>
        </w:rPr>
        <w:t>:</w:t>
      </w:r>
    </w:p>
    <w:tbl>
      <w:tblPr>
        <w:tblW w:w="10205" w:type="dxa"/>
        <w:jc w:val="center"/>
        <w:tblInd w:w="0" w:type="dxa"/>
        <w:tblLayout w:type="fixed"/>
        <w:tblCellMar>
          <w:top w:w="28" w:type="dxa"/>
          <w:left w:w="28" w:type="dxa"/>
          <w:bottom w:w="28" w:type="dxa"/>
          <w:right w:w="28" w:type="dxa"/>
        </w:tblCellMar>
      </w:tblPr>
      <w:tblGrid>
        <w:gridCol w:w="628"/>
        <w:gridCol w:w="370"/>
        <w:gridCol w:w="203"/>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09"/>
        <w:gridCol w:w="109"/>
        <w:gridCol w:w="109"/>
        <w:gridCol w:w="109"/>
        <w:gridCol w:w="215"/>
        <w:gridCol w:w="843"/>
        <w:gridCol w:w="111"/>
        <w:gridCol w:w="109"/>
        <w:gridCol w:w="109"/>
        <w:gridCol w:w="109"/>
        <w:gridCol w:w="158"/>
      </w:tblGrid>
      <w:tr>
        <w:trPr/>
        <w:tc>
          <w:tcPr>
            <w:tcW w:w="6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or More</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Guaranteed Amount </w:t>
            </w:r>
            <w:r>
              <w:rPr>
                <w:rFonts w:ascii="Times New Roman;serif" w:hAnsi="Times New Roman;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consumer</w:t>
            </w:r>
            <w:r>
              <w:rPr>
                <w:color w:val="000000"/>
              </w:rPr>
              <w:t xml:space="preserv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consumer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loans held for investment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Equipment finance</w:t>
            </w:r>
            <w:r>
              <w:rPr>
                <w:color w:val="000000"/>
              </w:rPr>
              <w:t xml:space="preserve"> </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real estate</w:t>
            </w:r>
            <w:r>
              <w:rPr>
                <w:color w:val="000000"/>
              </w:rPr>
              <w:t xml:space="preserve"> </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loans and leases held for investment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loans and leases held for investment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5,175,980 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5,270,815 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18"/>
        <w:gridCol w:w="341"/>
        <w:gridCol w:w="342"/>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09"/>
        <w:gridCol w:w="109"/>
        <w:gridCol w:w="109"/>
        <w:gridCol w:w="109"/>
        <w:gridCol w:w="215"/>
        <w:gridCol w:w="843"/>
        <w:gridCol w:w="111"/>
        <w:gridCol w:w="109"/>
        <w:gridCol w:w="109"/>
        <w:gridCol w:w="109"/>
        <w:gridCol w:w="158"/>
      </w:tblGrid>
      <w:tr>
        <w:trPr/>
        <w:tc>
          <w:tcPr>
            <w:tcW w:w="5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or More</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Guaranteed Amount </w:t>
            </w:r>
            <w:r>
              <w:rPr>
                <w:rFonts w:ascii="Times New Roman;serif" w:hAnsi="Times New Roman;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consumer</w:t>
            </w:r>
            <w:r>
              <w:rPr>
                <w:color w:val="000000"/>
              </w:rPr>
              <w:t xml:space="preserv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consumer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loans held for investment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Equipment finance</w:t>
            </w:r>
            <w:r>
              <w:rPr>
                <w:color w:val="000000"/>
              </w:rPr>
              <w:t xml:space="preserve"> </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real estate</w:t>
            </w:r>
            <w:r>
              <w:rPr>
                <w:color w:val="000000"/>
              </w:rPr>
              <w:t xml:space="preserve"> </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loans and leases held for investment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loans and leases held for investment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pPr>
      <w:r>
        <w:rPr>
          <w:rFonts w:ascii="Times New Roman;serif" w:hAnsi="Times New Roman;serif"/>
          <w:b w:val="false"/>
          <w:color w:val="000000"/>
          <w:sz w:val="14"/>
        </w:rPr>
        <w:t>(1)</w:t>
      </w:r>
      <w:r>
        <w:rPr>
          <w:color w:val="000000"/>
        </w:rPr>
        <w:t>    </w:t>
      </w:r>
      <w:r>
        <w:rPr>
          <w:rFonts w:ascii="Times New Roman;serif" w:hAnsi="Times New Roman;serif"/>
          <w:b w:val="false"/>
          <w:color w:val="000000"/>
          <w:sz w:val="22"/>
        </w:rPr>
        <w:t>Beginning in the first quarter of 2026, amounts include loans and leases held for investment measured at both amortized cost and fair value. Prior to the first quarter of 2026, amounts included loans and leases held for investment at amortized cost only.</w:t>
      </w:r>
    </w:p>
    <w:p>
      <w:pPr>
        <w:pStyle w:val="TextBody"/>
        <w:bidi w:val="0"/>
        <w:spacing w:lineRule="auto" w:line="288" w:before="60" w:after="283"/>
        <w:ind w:left="0" w:right="0" w:hanging="450"/>
        <w:jc w:val="left"/>
        <w:rPr/>
      </w:pPr>
      <w:r>
        <w:rPr>
          <w:rFonts w:ascii="Times New Roman;serif" w:hAnsi="Times New Roman;serif"/>
          <w:b w:val="false"/>
          <w:color w:val="000000"/>
          <w:sz w:val="14"/>
        </w:rPr>
        <w:t>(2)</w:t>
      </w:r>
      <w:r>
        <w:rPr>
          <w:color w:val="000000"/>
        </w:rPr>
        <w:t>    </w:t>
      </w:r>
      <w:r>
        <w:rPr>
          <w:rFonts w:ascii="Times New Roman;serif" w:hAnsi="Times New Roman;serif"/>
          <w:b w:val="false"/>
          <w:color w:val="000000"/>
          <w:sz w:val="22"/>
        </w:rPr>
        <w:t>Represents loan balances guaranteed by the Small Business Association (SBA).</w:t>
      </w:r>
    </w:p>
    <w:p>
      <w:pPr>
        <w:pStyle w:val="TextBody"/>
        <w:bidi w:val="0"/>
        <w:spacing w:lineRule="auto" w:line="288" w:before="60" w:after="283"/>
        <w:ind w:left="0" w:right="0" w:hanging="450"/>
        <w:jc w:val="left"/>
        <w:rPr/>
      </w:pPr>
      <w:r>
        <w:rPr>
          <w:rFonts w:ascii="Times New Roman;serif" w:hAnsi="Times New Roman;serif"/>
          <w:b w:val="false"/>
          <w:color w:val="000000"/>
          <w:sz w:val="14"/>
        </w:rPr>
        <w:t>(3)</w:t>
      </w:r>
      <w:r>
        <w:rPr>
          <w:color w:val="000000"/>
        </w:rPr>
        <w:t>    </w:t>
      </w:r>
      <w:r>
        <w:rPr>
          <w:rFonts w:ascii="Times New Roman;serif" w:hAnsi="Times New Roman;serif"/>
          <w:b w:val="false"/>
          <w:color w:val="000000"/>
          <w:sz w:val="22"/>
        </w:rPr>
        <w:t xml:space="preserve">Excludes basis adjustment for loans previously designated in fair value hedges under the portfolio layer method of $0.4 million and $1.6 million as of June 30, 2026 and December 31, 2025, respectively. </w:t>
      </w:r>
    </w:p>
    <w:p>
      <w:pPr>
        <w:pStyle w:val="TextBody"/>
        <w:bidi w:val="0"/>
        <w:spacing w:lineRule="auto" w:line="288" w:before="60" w:after="283"/>
        <w:ind w:left="0" w:right="0" w:hanging="450"/>
        <w:jc w:val="left"/>
        <w:rPr/>
      </w:pPr>
      <w:r>
        <w:rPr>
          <w:rFonts w:ascii="Times New Roman;serif" w:hAnsi="Times New Roman;serif"/>
          <w:b w:val="false"/>
          <w:color w:val="000000"/>
          <w:sz w:val="14"/>
        </w:rPr>
        <w:t>(4)</w:t>
      </w:r>
      <w:r>
        <w:rPr>
          <w:color w:val="000000"/>
        </w:rPr>
        <w:t>    </w:t>
      </w:r>
      <w:r>
        <w:rPr>
          <w:rFonts w:ascii="Times New Roman;serif" w:hAnsi="Times New Roman;serif"/>
          <w:b w:val="false"/>
          <w:color w:val="000000"/>
          <w:sz w:val="22"/>
        </w:rPr>
        <w:t>Comprised of sales-type leases for equipment.</w:t>
      </w:r>
    </w:p>
    <w:p>
      <w:pPr>
        <w:pStyle w:val="TextBody"/>
        <w:bidi w:val="0"/>
        <w:spacing w:lineRule="auto" w:line="288" w:before="60" w:after="283"/>
        <w:ind w:left="0" w:right="0" w:hanging="450"/>
        <w:jc w:val="left"/>
        <w:rPr/>
      </w:pPr>
      <w:r>
        <w:rPr>
          <w:rFonts w:ascii="Times New Roman;serif" w:hAnsi="Times New Roman;serif"/>
          <w:b w:val="false"/>
          <w:color w:val="000000"/>
          <w:sz w:val="14"/>
        </w:rPr>
        <w:t>(5)</w:t>
      </w:r>
      <w:r>
        <w:rPr>
          <w:color w:val="000000"/>
        </w:rPr>
        <w:t>    </w:t>
      </w:r>
      <w:r>
        <w:rPr>
          <w:rFonts w:ascii="Times New Roman;serif" w:hAnsi="Times New Roman;serif"/>
          <w:b w:val="false"/>
          <w:color w:val="000000"/>
          <w:sz w:val="22"/>
        </w:rPr>
        <w:t>Includes $309.9 million and $286.8 million in loans originated through the SBA as of June 30, 2026 and December 31, 2025, respectively.</w:t>
      </w:r>
    </w:p>
    <w:p>
      <w:pPr>
        <w:pStyle w:val="TextBody"/>
        <w:bidi w:val="0"/>
        <w:spacing w:before="6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52"/>
        <w:gridCol w:w="691"/>
        <w:gridCol w:w="693"/>
        <w:gridCol w:w="243"/>
        <w:gridCol w:w="988"/>
        <w:gridCol w:w="109"/>
        <w:gridCol w:w="109"/>
        <w:gridCol w:w="109"/>
        <w:gridCol w:w="109"/>
        <w:gridCol w:w="243"/>
        <w:gridCol w:w="988"/>
        <w:gridCol w:w="109"/>
        <w:gridCol w:w="109"/>
        <w:gridCol w:w="109"/>
        <w:gridCol w:w="109"/>
        <w:gridCol w:w="243"/>
        <w:gridCol w:w="988"/>
        <w:gridCol w:w="109"/>
        <w:gridCol w:w="109"/>
        <w:gridCol w:w="109"/>
        <w:gridCol w:w="109"/>
        <w:gridCol w:w="244"/>
        <w:gridCol w:w="188"/>
        <w:gridCol w:w="398"/>
        <w:gridCol w:w="109"/>
        <w:gridCol w:w="109"/>
        <w:gridCol w:w="109"/>
        <w:gridCol w:w="273"/>
        <w:gridCol w:w="255"/>
        <w:gridCol w:w="398"/>
        <w:gridCol w:w="109"/>
        <w:gridCol w:w="109"/>
        <w:gridCol w:w="109"/>
        <w:gridCol w:w="158"/>
      </w:tblGrid>
      <w:tr>
        <w:trPr/>
        <w:tc>
          <w:tcPr>
            <w:tcW w:w="1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June 30,</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March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June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 xml:space="preserve">Q2 2026 </w:t>
              <w:br/>
              <w:t xml:space="preserve">vs </w:t>
              <w:br/>
              <w:t>Q1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 xml:space="preserve">Q2 2026 </w:t>
              <w:br/>
              <w:t xml:space="preserve">vs </w:t>
              <w:br/>
              <w:t>Q2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Interest income:</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1"/>
              </w:rPr>
              <w:t>Interest on loans</w:t>
            </w:r>
            <w:r>
              <w:rPr>
                <w:color w:val="000000"/>
              </w:rPr>
              <w:t xml:space="preserve"> </w:t>
            </w:r>
            <w:r>
              <w:rPr>
                <w:rFonts w:ascii="Times New Roman;serif" w:hAnsi="Times New Roman;serif"/>
                <w:b w:val="false"/>
                <w:color w:val="000000"/>
                <w:sz w:val="14"/>
              </w:rPr>
              <w:t>(1)</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199,897 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18 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Interest on securities available for sale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Other interest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interest income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268,935 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261,207 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237,097 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Interest expense: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Interest on deposits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1"/>
              </w:rPr>
            </w:pPr>
            <w:r>
              <w:rPr>
                <w:rFonts w:ascii="Times New Roman;serif" w:hAnsi="Times New Roman;serif"/>
                <w:b w:val="false"/>
                <w:color w:val="000000"/>
                <w:sz w:val="21"/>
              </w:rPr>
              <w:t>Other interest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(33)</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interest expense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89,918 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82,848 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Net interest income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179,017 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176,234 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154,249 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Non-interest income:</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1"/>
              </w:rPr>
              <w:t>Origination fees</w:t>
            </w:r>
            <w:r>
              <w:rPr>
                <w:color w:val="000000"/>
              </w:rPr>
              <w:t xml:space="preserve"> </w:t>
            </w:r>
            <w:r>
              <w:rPr>
                <w:rFonts w:ascii="Times New Roman;serif" w:hAnsi="Times New Roman;serif"/>
                <w:b w:val="false"/>
                <w:color w:val="000000"/>
                <w:sz w:val="14"/>
              </w:rPr>
              <w:t>(2)</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87 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1"/>
              </w:rPr>
              <w:t xml:space="preserve">Servicing fees </w:t>
            </w:r>
            <w:r>
              <w:rPr>
                <w:rFonts w:ascii="Times New Roman;serif" w:hAnsi="Times New Roman;serif"/>
                <w:b w:val="false"/>
                <w:color w:val="000000"/>
                <w:sz w:val="14"/>
              </w:rPr>
              <w:t>(2)</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1"/>
              </w:rPr>
              <w:t>Gain on sales of loans</w:t>
            </w:r>
            <w:r>
              <w:rPr>
                <w:color w:val="000000"/>
              </w:rPr>
              <w:t xml:space="preserve"> </w:t>
            </w:r>
            <w:r>
              <w:rPr>
                <w:rFonts w:ascii="Times New Roman;serif" w:hAnsi="Times New Roman;serif"/>
                <w:b w:val="false"/>
                <w:color w:val="000000"/>
                <w:sz w:val="14"/>
              </w:rPr>
              <w:t>(2)</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1"/>
              </w:rPr>
              <w:t>Net fair value adjustments</w:t>
            </w:r>
            <w:r>
              <w:rPr>
                <w:color w:val="000000"/>
              </w:rPr>
              <w:t xml:space="preserve"> </w:t>
            </w:r>
            <w:r>
              <w:rPr>
                <w:rFonts w:ascii="Times New Roman;serif" w:hAnsi="Times New Roman;serif"/>
                <w:b w:val="false"/>
                <w:color w:val="000000"/>
                <w:sz w:val="14"/>
              </w:rPr>
              <w:t>(2)</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(121,145)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(88,925)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(27,869)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(36)</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(335)</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Other non-interest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non-interest income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83,838 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76,017 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94,186 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net revenue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262,855 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252,251 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248,435 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Provision for credit losses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(10,917)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39,733 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Non-interest expense:</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Compensation and benefits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86 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Equipment and software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Depreciation and amortization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Professional services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Occupancy</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(22)</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Other non-interest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non-interest expense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198,115 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184,533 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154,718 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28 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21"/>
              </w:rPr>
            </w:pPr>
            <w:r>
              <w:rPr>
                <w:rFonts w:ascii="Times New Roman;serif" w:hAnsi="Times New Roman;serif"/>
                <w:b/>
                <w:color w:val="000000"/>
                <w:sz w:val="21"/>
              </w:rPr>
              <w:t>Income before income tax expense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75,657 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67,328 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53,984 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12 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40 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1"/>
              </w:rPr>
            </w:pPr>
            <w:r>
              <w:rPr>
                <w:rFonts w:ascii="Times New Roman;serif" w:hAnsi="Times New Roman;serif"/>
                <w:b w:val="false"/>
                <w:color w:val="000000"/>
                <w:sz w:val="21"/>
              </w:rPr>
              <w:t>Income tax expense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Net income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51,603 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52 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21"/>
              </w:rPr>
              <w:t>Net income per share:</w:t>
            </w:r>
            <w:r>
              <w:rPr>
                <w:color w:val="000000"/>
              </w:rPr>
              <w:t xml:space="preserve"> </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Basic EPS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Diluted EPS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52 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Weighted-average common shares – Basic</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115,376,906 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115,400,564 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114,409,231 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Weighted-average common shares – Diluted</w:t>
            </w:r>
          </w:p>
        </w:tc>
        <w:tc>
          <w:tcPr>
            <w:tcW w:w="12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117,274,710 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117,333,435 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115,692,969 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1 </w:t>
            </w:r>
          </w:p>
        </w:tc>
        <w:tc>
          <w:tcPr>
            <w:tcW w:w="3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Beginning in the first quarter of 2026, we combined “Interest on loans held for sale,” “Interest and fees on loans and leases held for investment,” and “Interest on loans held for investment at fair value,” into a single line item called “Interest on loans.” Prior period amounts have been reclassified to conform to the current period presentation.</w:t>
      </w:r>
    </w:p>
    <w:p>
      <w:pPr>
        <w:pStyle w:val="TextBody"/>
        <w:bidi w:val="0"/>
        <w:spacing w:lineRule="auto" w:line="268" w:before="60" w:after="283"/>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Beginning in the first quarter of 2026, these components previously aggregated under “Marketplace revenue” on the Income Statement, are now presented as separate line items. Prior period amounts have been reclassified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3985" w:type="dxa"/>
        <w:jc w:val="left"/>
        <w:tblInd w:w="0" w:type="dxa"/>
        <w:tblLayout w:type="fixed"/>
        <w:tblCellMar>
          <w:top w:w="28" w:type="dxa"/>
          <w:left w:w="28" w:type="dxa"/>
          <w:bottom w:w="28" w:type="dxa"/>
          <w:right w:w="28" w:type="dxa"/>
        </w:tblCellMar>
      </w:tblPr>
      <w:tblGrid>
        <w:gridCol w:w="775"/>
        <w:gridCol w:w="377"/>
        <w:gridCol w:w="379"/>
        <w:gridCol w:w="196"/>
        <w:gridCol w:w="961"/>
        <w:gridCol w:w="109"/>
        <w:gridCol w:w="109"/>
        <w:gridCol w:w="109"/>
        <w:gridCol w:w="109"/>
        <w:gridCol w:w="196"/>
        <w:gridCol w:w="736"/>
        <w:gridCol w:w="109"/>
        <w:gridCol w:w="109"/>
        <w:gridCol w:w="109"/>
        <w:gridCol w:w="109"/>
        <w:gridCol w:w="282"/>
        <w:gridCol w:w="274"/>
        <w:gridCol w:w="398"/>
        <w:gridCol w:w="109"/>
        <w:gridCol w:w="109"/>
        <w:gridCol w:w="109"/>
        <w:gridCol w:w="196"/>
        <w:gridCol w:w="961"/>
        <w:gridCol w:w="109"/>
        <w:gridCol w:w="109"/>
        <w:gridCol w:w="109"/>
        <w:gridCol w:w="109"/>
        <w:gridCol w:w="196"/>
        <w:gridCol w:w="736"/>
        <w:gridCol w:w="109"/>
        <w:gridCol w:w="109"/>
        <w:gridCol w:w="109"/>
        <w:gridCol w:w="109"/>
        <w:gridCol w:w="282"/>
        <w:gridCol w:w="274"/>
        <w:gridCol w:w="398"/>
        <w:gridCol w:w="109"/>
        <w:gridCol w:w="109"/>
        <w:gridCol w:w="109"/>
        <w:gridCol w:w="196"/>
        <w:gridCol w:w="961"/>
        <w:gridCol w:w="109"/>
        <w:gridCol w:w="109"/>
        <w:gridCol w:w="109"/>
        <w:gridCol w:w="109"/>
        <w:gridCol w:w="196"/>
        <w:gridCol w:w="736"/>
        <w:gridCol w:w="109"/>
        <w:gridCol w:w="109"/>
        <w:gridCol w:w="109"/>
        <w:gridCol w:w="109"/>
        <w:gridCol w:w="318"/>
        <w:gridCol w:w="238"/>
        <w:gridCol w:w="453"/>
      </w:tblGrid>
      <w:tr>
        <w:trPr/>
        <w:tc>
          <w:tcPr>
            <w:tcW w:w="7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4" w:type="dxa"/>
            <w:gridSpan w:val="5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Consolidated </w:t>
            </w:r>
            <w:r>
              <w:rPr>
                <w:rFonts w:ascii="Times New Roman;serif" w:hAnsi="Times New Roman;serif"/>
                <w:b/>
                <w:color w:val="000000"/>
                <w:sz w:val="12"/>
              </w:rPr>
              <w:t>(1)</w:t>
            </w:r>
          </w:p>
        </w:tc>
      </w:tr>
      <w:tr>
        <w:trPr/>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br/>
              <w:t>Expense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Yield/</w:t>
              <w:br/>
              <w:t>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br/>
              <w:t>Expense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Yield/</w:t>
              <w:br/>
              <w:t>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br/>
              <w:t>Expense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Yield/</w:t>
              <w:br/>
              <w:t>Rate</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 xml:space="preserve">Interest-earning assets </w:t>
            </w:r>
            <w:r>
              <w:rPr>
                <w:rFonts w:ascii="Times New Roman;serif" w:hAnsi="Times New Roman;serif"/>
                <w:b/>
                <w:color w:val="000000"/>
                <w:sz w:val="12"/>
              </w:rPr>
              <w:t>(2)</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other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held for investment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and leases held for investment at amortized cost: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Unsecured consumer loans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Commercial and secured consumer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and leases held for investment at amortized cost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 held for investment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11,220,240 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 and restricted cash</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and lease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earning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10,477,064 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Interest-bearing deposits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and money market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Checking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8,577,243 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11,652,603 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spread</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 and net interest margin</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40"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Consolidated presentation reflects intercompany eliminations.</w:t>
      </w:r>
    </w:p>
    <w:p>
      <w:pPr>
        <w:pStyle w:val="TextBody"/>
        <w:bidi w:val="0"/>
        <w:spacing w:lineRule="auto" w:line="240"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Nonaccrual loans and any related income are included in their respective loan categories.</w:t>
      </w:r>
    </w:p>
    <w:p>
      <w:pPr>
        <w:pStyle w:val="TextBody"/>
        <w:bidi w:val="0"/>
        <w:spacing w:lineRule="auto" w:line="240" w:before="0" w:after="0"/>
        <w:ind w:left="0" w:right="0" w:hanging="360"/>
        <w:jc w:val="left"/>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Prior period amounts have been reclassified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62"/>
        <w:gridCol w:w="2131"/>
        <w:gridCol w:w="2046"/>
        <w:gridCol w:w="211"/>
        <w:gridCol w:w="1126"/>
        <w:gridCol w:w="109"/>
        <w:gridCol w:w="109"/>
        <w:gridCol w:w="109"/>
        <w:gridCol w:w="109"/>
        <w:gridCol w:w="211"/>
        <w:gridCol w:w="1126"/>
        <w:gridCol w:w="156"/>
      </w:tblGrid>
      <w:tr>
        <w:trPr/>
        <w:tc>
          <w:tcPr>
            <w:tcW w:w="276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December 31,</w:t>
              <w:br/>
              <w:t>2025</w:t>
            </w:r>
          </w:p>
        </w:tc>
      </w:tr>
      <w:tr>
        <w:trPr/>
        <w:tc>
          <w:tcPr>
            <w:tcW w:w="6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Assets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Cash and due from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Interest-bearing deposits in banks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905,905 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cash and cash equivalents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912,767 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917,654 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Restricted cash</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12,783 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1"/>
              </w:rPr>
            </w:pPr>
            <w:r>
              <w:rPr>
                <w:rFonts w:ascii="Times New Roman;serif" w:hAnsi="Times New Roman;serif"/>
                <w:b w:val="false"/>
                <w:color w:val="000000"/>
                <w:sz w:val="21"/>
              </w:rPr>
              <w:t>Securities available for sale at fair value ($4,103,026 and $3,733,780 at amortized cost,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4,046,761 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3,706,709 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Loans held for sale at fair value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1,773,052 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1,762,396 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1"/>
              </w:rPr>
            </w:pPr>
            <w:r>
              <w:rPr>
                <w:rFonts w:ascii="Times New Roman;serif" w:hAnsi="Times New Roman;serif"/>
                <w:b w:val="false"/>
                <w:color w:val="000000"/>
                <w:sz w:val="21"/>
              </w:rPr>
              <w:t>Loans held for investment at fair value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2,085,066 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473,314 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Loans and leases held for investment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3,186,145 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4,272,812 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Allowance for loan and lease losses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(192,893)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(275,743)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Loans and leases held for investment, net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2,993,252 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3,997,069 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Property, equipment and software,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276,454 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254,088 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Goodwill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75,717 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Other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370,516 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368,086 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12,549,040 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11,567,816 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Liabilities and Equity</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Deposits: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Interest-bearing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10,336,236 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9,459,483 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Noninterest-bearing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429,031 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374,387 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deposits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10,765,267 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9,833,870 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Other liabilities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233,518 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10,981,575 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10,067,388 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Equity</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1"/>
              </w:rPr>
            </w:pPr>
            <w:r>
              <w:rPr>
                <w:rFonts w:ascii="Times New Roman;serif" w:hAnsi="Times New Roman;serif"/>
                <w:b w:val="false"/>
                <w:color w:val="000000"/>
                <w:sz w:val="21"/>
              </w:rPr>
              <w:t>Common stock, $0.01 par value; 180,000,000 shares authorized; 115,407,464 and 115,368,987 shares issued and outstanding,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1,697,357 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1,719,233 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Accumulated deficit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(92,048)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(201,799)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Accumulated other comprehensive 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(38,998)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(18,160)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equity</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1,567,465 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1,500,428 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12,549,040 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11,567,816 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HAPPEN,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Tangible Book Value Per Common Share</w:t>
      </w:r>
    </w:p>
    <w:tbl>
      <w:tblPr>
        <w:tblW w:w="10205" w:type="dxa"/>
        <w:jc w:val="left"/>
        <w:tblInd w:w="0" w:type="dxa"/>
        <w:tblLayout w:type="fixed"/>
        <w:tblCellMar>
          <w:top w:w="28" w:type="dxa"/>
          <w:left w:w="28" w:type="dxa"/>
          <w:bottom w:w="28" w:type="dxa"/>
          <w:right w:w="28" w:type="dxa"/>
        </w:tblCellMar>
      </w:tblPr>
      <w:tblGrid>
        <w:gridCol w:w="1087"/>
        <w:gridCol w:w="928"/>
        <w:gridCol w:w="935"/>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9"/>
        <w:gridCol w:w="886"/>
        <w:gridCol w:w="110"/>
        <w:gridCol w:w="109"/>
        <w:gridCol w:w="109"/>
        <w:gridCol w:w="109"/>
        <w:gridCol w:w="196"/>
        <w:gridCol w:w="871"/>
        <w:gridCol w:w="157"/>
      </w:tblGrid>
      <w:tr>
        <w:trPr/>
        <w:tc>
          <w:tcPr>
            <w:tcW w:w="108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2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common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1,462,213 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Customer relationship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Tangible common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1,378,290 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Book value per common share</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common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1,462,213 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1,406,035 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and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115,301,440 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114,740,147 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Book value per common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Tangible book value per common share</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1,323,250 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115,368,987 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115,301,440 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114,740,147 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Tangible book value per common share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Return On Tangible Common Equity</w:t>
      </w:r>
    </w:p>
    <w:tbl>
      <w:tblPr>
        <w:tblW w:w="10205" w:type="dxa"/>
        <w:jc w:val="left"/>
        <w:tblInd w:w="0" w:type="dxa"/>
        <w:tblLayout w:type="fixed"/>
        <w:tblCellMar>
          <w:top w:w="28" w:type="dxa"/>
          <w:left w:w="28" w:type="dxa"/>
          <w:bottom w:w="28" w:type="dxa"/>
          <w:right w:w="28" w:type="dxa"/>
        </w:tblCellMar>
      </w:tblPr>
      <w:tblGrid>
        <w:gridCol w:w="788"/>
        <w:gridCol w:w="503"/>
        <w:gridCol w:w="508"/>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56"/>
      </w:tblGrid>
      <w:tr>
        <w:trPr/>
        <w:tc>
          <w:tcPr>
            <w:tcW w:w="78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Average GAAP common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1,544,238 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1,473,356 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1,424,538 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customer relationship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tangible common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1,463,755 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1,426,632 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1,298,059 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9722"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color w:val="000000"/>
                <w:sz w:val="18"/>
                <w:u w:val="single"/>
              </w:rPr>
            </w:pPr>
            <w:r>
              <w:rPr>
                <w:rFonts w:ascii="Times New Roman;serif" w:hAnsi="Times New Roman;serif"/>
                <w:b/>
                <w:color w:val="000000"/>
                <w:sz w:val="18"/>
                <w:u w:val="single"/>
              </w:rPr>
              <w:t>Return on average equity</w:t>
            </w:r>
          </w:p>
        </w:tc>
        <w:tc>
          <w:tcPr>
            <w:tcW w:w="483" w:type="dxa"/>
            <w:gridSpan w:val="4"/>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GAAP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GAAP common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1,544,238 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1,473,356 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1,424,538 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on average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9722"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color w:val="000000"/>
                <w:sz w:val="18"/>
                <w:u w:val="single"/>
              </w:rPr>
            </w:pPr>
            <w:r>
              <w:rPr>
                <w:rFonts w:ascii="Times New Roman;serif" w:hAnsi="Times New Roman;serif"/>
                <w:b/>
                <w:color w:val="000000"/>
                <w:sz w:val="18"/>
                <w:u w:val="single"/>
              </w:rPr>
              <w:t>Return on tangible common equity</w:t>
            </w:r>
          </w:p>
        </w:tc>
        <w:tc>
          <w:tcPr>
            <w:tcW w:w="483" w:type="dxa"/>
            <w:gridSpan w:val="4"/>
            <w:tcBorders/>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GAAP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Average tangible common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1,463,755 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1,426,632 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1,298,059 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on tangible common equity</w:t>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9970/000140997025000077/exhibit99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5131</Words>
  <Characters>27438</Characters>
  <CharactersWithSpaces>31737</CharactersWithSpaces>
  <Paragraphs>1748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